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92" w:rsidRPr="004462E7" w:rsidRDefault="004462E7" w:rsidP="00FA4006">
      <w:pPr>
        <w:jc w:val="center"/>
        <w:rPr>
          <w:b/>
          <w:sz w:val="36"/>
          <w:szCs w:val="36"/>
        </w:rPr>
      </w:pPr>
      <w:r w:rsidRPr="004462E7">
        <w:rPr>
          <w:b/>
          <w:sz w:val="36"/>
          <w:szCs w:val="36"/>
        </w:rPr>
        <w:t xml:space="preserve">Treasonous </w:t>
      </w:r>
      <w:r w:rsidR="005A4992" w:rsidRPr="004462E7">
        <w:rPr>
          <w:b/>
          <w:sz w:val="36"/>
          <w:szCs w:val="36"/>
        </w:rPr>
        <w:t>P</w:t>
      </w:r>
      <w:bookmarkStart w:id="0" w:name="_GoBack"/>
      <w:bookmarkEnd w:id="0"/>
      <w:r w:rsidR="005A4992" w:rsidRPr="004462E7">
        <w:rPr>
          <w:b/>
          <w:sz w:val="36"/>
          <w:szCs w:val="36"/>
        </w:rPr>
        <w:t>olitical Parties changed Constitutional Definitions</w:t>
      </w:r>
      <w:r>
        <w:rPr>
          <w:b/>
          <w:sz w:val="36"/>
          <w:szCs w:val="36"/>
        </w:rPr>
        <w:t xml:space="preserve"> without a Referendum</w:t>
      </w:r>
    </w:p>
    <w:p w:rsidR="007D0EBB" w:rsidRDefault="005D2A17" w:rsidP="005D2A17">
      <w:pPr>
        <w:rPr>
          <w:szCs w:val="24"/>
        </w:rPr>
      </w:pPr>
      <w:r w:rsidRPr="004462E7">
        <w:rPr>
          <w:szCs w:val="24"/>
        </w:rPr>
        <w:t>By the Political Parties changing the Constitutional and officials definitions</w:t>
      </w:r>
      <w:r w:rsidR="00B23B53" w:rsidRPr="004462E7">
        <w:rPr>
          <w:szCs w:val="24"/>
        </w:rPr>
        <w:t>,</w:t>
      </w:r>
      <w:r w:rsidRPr="004462E7">
        <w:rPr>
          <w:szCs w:val="24"/>
        </w:rPr>
        <w:t xml:space="preserve"> they have changed the Commonwealth of Australia Constitution Act 1901 consisting of its Preamble, Clauses 1 to 9 and the Schedule</w:t>
      </w:r>
      <w:r w:rsidR="007D0EBB">
        <w:rPr>
          <w:szCs w:val="24"/>
        </w:rPr>
        <w:t xml:space="preserve"> without a Referendum</w:t>
      </w:r>
      <w:r w:rsidRPr="004462E7">
        <w:rPr>
          <w:szCs w:val="24"/>
        </w:rPr>
        <w:t xml:space="preserve"> </w:t>
      </w:r>
      <w:r w:rsidRPr="004462E7">
        <w:rPr>
          <w:b/>
          <w:color w:val="FF0000"/>
          <w:szCs w:val="24"/>
        </w:rPr>
        <w:t>= Treason.</w:t>
      </w:r>
      <w:r w:rsidRPr="004462E7">
        <w:rPr>
          <w:szCs w:val="24"/>
        </w:rPr>
        <w:t xml:space="preserve"> </w:t>
      </w:r>
    </w:p>
    <w:p w:rsidR="00471DA3" w:rsidRDefault="005D2A17" w:rsidP="005D2A17">
      <w:pPr>
        <w:rPr>
          <w:bCs/>
          <w:szCs w:val="24"/>
        </w:rPr>
      </w:pPr>
      <w:r w:rsidRPr="004462E7">
        <w:rPr>
          <w:szCs w:val="24"/>
        </w:rPr>
        <w:t>The Political Parties owned the Governor-General and Commander-in-Chief since 1960 so they could do what they want</w:t>
      </w:r>
      <w:r w:rsidR="007D0EBB">
        <w:rPr>
          <w:szCs w:val="24"/>
        </w:rPr>
        <w:t>, when they want</w:t>
      </w:r>
      <w:r w:rsidRPr="004462E7">
        <w:rPr>
          <w:szCs w:val="24"/>
        </w:rPr>
        <w:t xml:space="preserve">. They make their abstract Australia as big and as small as they want. </w:t>
      </w:r>
      <w:r w:rsidR="00471DA3" w:rsidRPr="00471DA3">
        <w:rPr>
          <w:szCs w:val="24"/>
        </w:rPr>
        <w:t xml:space="preserve">This is made very clear by their </w:t>
      </w:r>
      <w:r w:rsidR="00471DA3" w:rsidRPr="00471DA3">
        <w:rPr>
          <w:bCs/>
          <w:szCs w:val="24"/>
        </w:rPr>
        <w:t xml:space="preserve">Seas </w:t>
      </w:r>
    </w:p>
    <w:p w:rsidR="005D2A17" w:rsidRPr="004462E7" w:rsidRDefault="00471DA3" w:rsidP="005D2A17">
      <w:pPr>
        <w:rPr>
          <w:szCs w:val="24"/>
        </w:rPr>
      </w:pPr>
      <w:proofErr w:type="gramStart"/>
      <w:r w:rsidRPr="00471DA3">
        <w:rPr>
          <w:bCs/>
          <w:szCs w:val="24"/>
        </w:rPr>
        <w:t>and</w:t>
      </w:r>
      <w:proofErr w:type="gramEnd"/>
      <w:r w:rsidRPr="00471DA3">
        <w:rPr>
          <w:bCs/>
          <w:szCs w:val="24"/>
        </w:rPr>
        <w:t xml:space="preserve"> Submerged Lands Act 1973.</w:t>
      </w:r>
      <w:r w:rsidR="00721AA2">
        <w:rPr>
          <w:szCs w:val="24"/>
        </w:rPr>
        <w:t xml:space="preserve"> </w:t>
      </w:r>
      <w:r w:rsidR="005D2A17" w:rsidRPr="004462E7">
        <w:rPr>
          <w:szCs w:val="24"/>
        </w:rPr>
        <w:t>Their abstract "Australia" abstract "Commonwealth" means the abstract "Commonwealth of Australia" is nothing but writing on a piece of paper, one big com job.</w:t>
      </w:r>
    </w:p>
    <w:p w:rsidR="00E33BE2" w:rsidRPr="004462E7" w:rsidRDefault="00E33BE2">
      <w:pPr>
        <w:rPr>
          <w:sz w:val="16"/>
          <w:szCs w:val="16"/>
        </w:rPr>
      </w:pPr>
    </w:p>
    <w:p w:rsidR="005D2A17" w:rsidRPr="004462E7" w:rsidRDefault="00FC5B3E" w:rsidP="005D2A17">
      <w:pPr>
        <w:rPr>
          <w:szCs w:val="24"/>
        </w:rPr>
      </w:pPr>
      <w:r>
        <w:rPr>
          <w:szCs w:val="24"/>
        </w:rPr>
        <w:t>Forced enrolment and</w:t>
      </w:r>
      <w:r w:rsidR="005D2A17" w:rsidRPr="004462E7">
        <w:rPr>
          <w:szCs w:val="24"/>
        </w:rPr>
        <w:t xml:space="preserve"> vote is a criminal action by</w:t>
      </w:r>
      <w:r w:rsidR="004663AA">
        <w:rPr>
          <w:szCs w:val="24"/>
        </w:rPr>
        <w:t xml:space="preserve"> the Corporate</w:t>
      </w:r>
      <w:r w:rsidR="005D2A17" w:rsidRPr="004462E7">
        <w:rPr>
          <w:szCs w:val="24"/>
        </w:rPr>
        <w:t xml:space="preserve"> Political Parties.</w:t>
      </w:r>
    </w:p>
    <w:p w:rsidR="005D2A17" w:rsidRPr="004462E7" w:rsidRDefault="005D2A17" w:rsidP="005D2A17">
      <w:pPr>
        <w:rPr>
          <w:szCs w:val="24"/>
        </w:rPr>
      </w:pPr>
      <w:r w:rsidRPr="004462E7">
        <w:rPr>
          <w:szCs w:val="24"/>
        </w:rPr>
        <w:t>The original Electoral Act No 17 of 1918 was 62 pages.</w:t>
      </w:r>
    </w:p>
    <w:p w:rsidR="005D2A17" w:rsidRDefault="005D2A17" w:rsidP="005D2A17">
      <w:pPr>
        <w:rPr>
          <w:sz w:val="16"/>
          <w:szCs w:val="16"/>
        </w:rPr>
      </w:pPr>
      <w:proofErr w:type="gramStart"/>
      <w:r w:rsidRPr="004462E7">
        <w:rPr>
          <w:szCs w:val="24"/>
        </w:rPr>
        <w:t>So called, same Electoral Act 15 February 2021 is 661 pages long.</w:t>
      </w:r>
      <w:proofErr w:type="gramEnd"/>
    </w:p>
    <w:p w:rsidR="00B43C1F" w:rsidRPr="00B43C1F" w:rsidRDefault="00B43C1F" w:rsidP="005D2A17">
      <w:pPr>
        <w:rPr>
          <w:sz w:val="16"/>
          <w:szCs w:val="16"/>
        </w:rPr>
      </w:pPr>
    </w:p>
    <w:p w:rsidR="005D2A17" w:rsidRDefault="00B43C1F">
      <w:r>
        <w:rPr>
          <w:noProof/>
          <w:lang w:eastAsia="en-AU"/>
        </w:rPr>
        <w:drawing>
          <wp:inline distT="0" distB="0" distL="0" distR="0">
            <wp:extent cx="5588876" cy="5817476"/>
            <wp:effectExtent l="0" t="0" r="0" b="0"/>
            <wp:docPr id="2" name="Picture 2" descr="C:\Users\Owner\Desktop\1 Acts Interpretation Act al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1 Acts Interpretation Act all 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83" cy="581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3AA" w:rsidRDefault="00721AA2">
      <w:r w:rsidRPr="00721AA2">
        <w:rPr>
          <w:b/>
        </w:rPr>
        <w:lastRenderedPageBreak/>
        <w:t>Acts Interpretation Act</w:t>
      </w:r>
      <w:r>
        <w:t xml:space="preserve"> 1973 No 79 is a private Act, No Crown and Constitutional Authority. The enacting manner and </w:t>
      </w:r>
      <w:r w:rsidR="004663AA">
        <w:t>form, removed Crown Authority of all Commonwealth Acts from</w:t>
      </w:r>
      <w:r>
        <w:t xml:space="preserve"> the very first Act of 1973.</w:t>
      </w:r>
      <w:r w:rsidR="004663AA">
        <w:t xml:space="preserve"> Therefore all Commonwealth Acts are enacted to the abstract Queen of Australia.</w:t>
      </w:r>
      <w:r>
        <w:t xml:space="preserve"> </w:t>
      </w:r>
      <w:r w:rsidR="005D2A17" w:rsidRPr="00B43C1F">
        <w:rPr>
          <w:szCs w:val="24"/>
        </w:rPr>
        <w:t>The</w:t>
      </w:r>
      <w:r>
        <w:rPr>
          <w:szCs w:val="24"/>
        </w:rPr>
        <w:t xml:space="preserve"> Political Parties</w:t>
      </w:r>
      <w:r w:rsidR="005D2A17" w:rsidRPr="00B43C1F">
        <w:rPr>
          <w:szCs w:val="24"/>
        </w:rPr>
        <w:t xml:space="preserve"> created the </w:t>
      </w:r>
      <w:r w:rsidR="005D2A17" w:rsidRPr="00721AA2">
        <w:rPr>
          <w:bCs/>
          <w:szCs w:val="24"/>
        </w:rPr>
        <w:t>Australian Electoral Office Act 1973 No. 87 of 1973</w:t>
      </w:r>
      <w:r w:rsidR="005D2A17" w:rsidRPr="00B43C1F">
        <w:rPr>
          <w:szCs w:val="24"/>
        </w:rPr>
        <w:t xml:space="preserve"> using their Treasonous changed Constitutional Definition</w:t>
      </w:r>
      <w:r w:rsidR="004663AA">
        <w:rPr>
          <w:szCs w:val="24"/>
        </w:rPr>
        <w:t>s</w:t>
      </w:r>
      <w:r w:rsidR="005D2A17" w:rsidRPr="00B43C1F">
        <w:rPr>
          <w:szCs w:val="24"/>
        </w:rPr>
        <w:t xml:space="preserve"> of their Commonwealth and Australia. All Political Parties have to go to the Political Parties</w:t>
      </w:r>
      <w:r>
        <w:rPr>
          <w:szCs w:val="24"/>
        </w:rPr>
        <w:t xml:space="preserve"> Treasonous</w:t>
      </w:r>
      <w:r w:rsidR="005D2A17" w:rsidRPr="00B43C1F">
        <w:rPr>
          <w:szCs w:val="24"/>
        </w:rPr>
        <w:t xml:space="preserve"> Commonwealth Electoral Act and create</w:t>
      </w:r>
      <w:r w:rsidR="004663AA">
        <w:rPr>
          <w:szCs w:val="24"/>
        </w:rPr>
        <w:t xml:space="preserve"> a Party Constitution within that system</w:t>
      </w:r>
      <w:r w:rsidR="005D2A17" w:rsidRPr="00B43C1F">
        <w:rPr>
          <w:szCs w:val="24"/>
        </w:rPr>
        <w:t xml:space="preserve"> to get their </w:t>
      </w:r>
      <w:r w:rsidR="004663AA">
        <w:rPr>
          <w:szCs w:val="24"/>
        </w:rPr>
        <w:t>n</w:t>
      </w:r>
      <w:r>
        <w:rPr>
          <w:szCs w:val="24"/>
        </w:rPr>
        <w:t xml:space="preserve">ames and </w:t>
      </w:r>
      <w:r w:rsidR="005D2A17" w:rsidRPr="00B43C1F">
        <w:rPr>
          <w:szCs w:val="24"/>
        </w:rPr>
        <w:t>members' names on the Ballot Paper for Elections and Referendums</w:t>
      </w:r>
      <w:r w:rsidR="005D2A17" w:rsidRPr="00B43C1F">
        <w:rPr>
          <w:color w:val="FF0000"/>
          <w:szCs w:val="24"/>
        </w:rPr>
        <w:t xml:space="preserve"> </w:t>
      </w:r>
      <w:r w:rsidR="005D2A17" w:rsidRPr="00B43C1F">
        <w:rPr>
          <w:b/>
          <w:bCs/>
          <w:color w:val="FF0000"/>
          <w:szCs w:val="24"/>
        </w:rPr>
        <w:t>= Treason.</w:t>
      </w:r>
      <w:r w:rsidR="008B10E1">
        <w:t xml:space="preserve"> </w:t>
      </w:r>
    </w:p>
    <w:p w:rsidR="005D2A17" w:rsidRPr="004663AA" w:rsidRDefault="005D2A17">
      <w:pPr>
        <w:rPr>
          <w:szCs w:val="24"/>
        </w:rPr>
      </w:pPr>
      <w:r w:rsidRPr="00B43C1F">
        <w:rPr>
          <w:szCs w:val="24"/>
        </w:rPr>
        <w:t>This puts all Political Parties and Independents under these Treasonous Definitions.</w:t>
      </w:r>
      <w:r w:rsidR="008B10E1">
        <w:t xml:space="preserve"> </w:t>
      </w:r>
      <w:r w:rsidRPr="00B43C1F">
        <w:rPr>
          <w:szCs w:val="24"/>
        </w:rPr>
        <w:t xml:space="preserve">All this is for the Treasonous Political Parties, Status of their Commonwealth of Australia as a sovereign, independent and federal nation </w:t>
      </w:r>
      <w:r w:rsidRPr="00B43C1F">
        <w:rPr>
          <w:b/>
          <w:bCs/>
          <w:color w:val="FF0000"/>
          <w:szCs w:val="24"/>
        </w:rPr>
        <w:t>= Treason</w:t>
      </w:r>
    </w:p>
    <w:p w:rsidR="00B23B53" w:rsidRPr="008B10E1" w:rsidRDefault="00B23B53">
      <w:pPr>
        <w:rPr>
          <w:sz w:val="16"/>
          <w:szCs w:val="16"/>
        </w:rPr>
      </w:pPr>
    </w:p>
    <w:p w:rsidR="00441F15" w:rsidRDefault="00441F15" w:rsidP="00441F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Members of Political Parties, each under their own Party’s Constitution and policies, </w:t>
      </w:r>
    </w:p>
    <w:p w:rsidR="00441F15" w:rsidRDefault="00441F15" w:rsidP="00441F1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have</w:t>
      </w:r>
      <w:proofErr w:type="gramEnd"/>
      <w:r>
        <w:rPr>
          <w:sz w:val="23"/>
          <w:szCs w:val="23"/>
        </w:rPr>
        <w:t xml:space="preserve"> deceived us and our Constitutional Sovereign and Monarch, by creating </w:t>
      </w:r>
    </w:p>
    <w:p w:rsidR="00441F15" w:rsidRDefault="00441F15" w:rsidP="00441F1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under</w:t>
      </w:r>
      <w:proofErr w:type="gramEnd"/>
      <w:r>
        <w:rPr>
          <w:sz w:val="23"/>
          <w:szCs w:val="23"/>
        </w:rPr>
        <w:t xml:space="preserve"> a progressive evolutionary process, Corporations that control all entities inside </w:t>
      </w:r>
    </w:p>
    <w:p w:rsidR="00441F15" w:rsidRDefault="00441F15" w:rsidP="00441F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Parliaments, Governments and Courts “of Australia”, with NO Separation of Powers </w:t>
      </w:r>
    </w:p>
    <w:p w:rsidR="00B23B53" w:rsidRPr="00B23B53" w:rsidRDefault="00441F15" w:rsidP="00441F15">
      <w:pPr>
        <w:rPr>
          <w:b/>
          <w:lang w:val="en-US"/>
        </w:rPr>
      </w:pPr>
      <w:proofErr w:type="gramStart"/>
      <w:r>
        <w:rPr>
          <w:sz w:val="23"/>
          <w:szCs w:val="23"/>
        </w:rPr>
        <w:t>and</w:t>
      </w:r>
      <w:proofErr w:type="gramEnd"/>
      <w:r>
        <w:rPr>
          <w:sz w:val="23"/>
          <w:szCs w:val="23"/>
        </w:rPr>
        <w:t xml:space="preserve"> with purported “Governor-Generals” and “Governors” under their control also. </w:t>
      </w:r>
    </w:p>
    <w:p w:rsidR="00B23B53" w:rsidRPr="006D138C" w:rsidRDefault="00B23B53">
      <w:pPr>
        <w:rPr>
          <w:sz w:val="16"/>
          <w:szCs w:val="16"/>
        </w:rPr>
      </w:pPr>
    </w:p>
    <w:p w:rsidR="00441F15" w:rsidRDefault="00441F15" w:rsidP="00FA400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High</w:t>
      </w:r>
      <w:r w:rsidRPr="00441F15">
        <w:rPr>
          <w:b/>
          <w:color w:val="FF0000"/>
          <w:sz w:val="32"/>
          <w:szCs w:val="32"/>
        </w:rPr>
        <w:t xml:space="preserve"> Treason by Governor-General and Commander-in-Chief and all State Governors</w:t>
      </w:r>
    </w:p>
    <w:p w:rsidR="004663AA" w:rsidRPr="006D138C" w:rsidRDefault="004663AA" w:rsidP="00FA4006">
      <w:pPr>
        <w:rPr>
          <w:b/>
          <w:color w:val="FF0000"/>
          <w:sz w:val="16"/>
          <w:szCs w:val="16"/>
        </w:rPr>
      </w:pPr>
    </w:p>
    <w:p w:rsidR="006D138C" w:rsidRPr="006D138C" w:rsidRDefault="004663AA" w:rsidP="00FA4006">
      <w:pPr>
        <w:jc w:val="center"/>
        <w:rPr>
          <w:b/>
          <w:color w:val="000000" w:themeColor="text1"/>
          <w:sz w:val="36"/>
          <w:szCs w:val="36"/>
          <w:u w:val="single" w:color="FF0000"/>
        </w:rPr>
      </w:pPr>
      <w:r w:rsidRPr="006D138C">
        <w:rPr>
          <w:b/>
          <w:color w:val="000000" w:themeColor="text1"/>
          <w:sz w:val="36"/>
          <w:szCs w:val="36"/>
          <w:u w:val="single" w:color="FF0000"/>
        </w:rPr>
        <w:t>Where</w:t>
      </w:r>
      <w:r w:rsidR="006D138C">
        <w:rPr>
          <w:b/>
          <w:color w:val="000000" w:themeColor="text1"/>
          <w:sz w:val="36"/>
          <w:szCs w:val="36"/>
          <w:u w:val="single" w:color="FF0000"/>
        </w:rPr>
        <w:t xml:space="preserve"> is and</w:t>
      </w:r>
      <w:r w:rsidRPr="006D138C">
        <w:rPr>
          <w:b/>
          <w:color w:val="000000" w:themeColor="text1"/>
          <w:sz w:val="36"/>
          <w:szCs w:val="36"/>
          <w:u w:val="single" w:color="FF0000"/>
        </w:rPr>
        <w:t xml:space="preserve"> was the Judiciary ??</w:t>
      </w:r>
    </w:p>
    <w:p w:rsidR="004663AA" w:rsidRPr="004663AA" w:rsidRDefault="004663AA" w:rsidP="00FA4006">
      <w:pPr>
        <w:jc w:val="center"/>
        <w:rPr>
          <w:b/>
          <w:color w:val="000000" w:themeColor="text1"/>
          <w:sz w:val="28"/>
          <w:szCs w:val="28"/>
          <w:u w:val="single" w:color="FF0000"/>
        </w:rPr>
      </w:pPr>
      <w:r w:rsidRPr="006D138C">
        <w:rPr>
          <w:b/>
          <w:color w:val="000000" w:themeColor="text1"/>
          <w:sz w:val="36"/>
          <w:szCs w:val="36"/>
          <w:u w:val="single" w:color="FF0000"/>
        </w:rPr>
        <w:t>The Guardians of the Constitutions</w:t>
      </w:r>
    </w:p>
    <w:p w:rsidR="004663AA" w:rsidRPr="006D138C" w:rsidRDefault="004663AA" w:rsidP="004663AA">
      <w:pPr>
        <w:rPr>
          <w:color w:val="000000" w:themeColor="text1"/>
          <w:sz w:val="16"/>
          <w:szCs w:val="16"/>
        </w:rPr>
      </w:pPr>
    </w:p>
    <w:p w:rsidR="004663AA" w:rsidRDefault="004663AA" w:rsidP="004663AA">
      <w:pPr>
        <w:rPr>
          <w:color w:val="000000" w:themeColor="text1"/>
          <w:szCs w:val="24"/>
        </w:rPr>
      </w:pPr>
      <w:r w:rsidRPr="004663AA">
        <w:rPr>
          <w:color w:val="000000" w:themeColor="text1"/>
          <w:szCs w:val="24"/>
        </w:rPr>
        <w:t xml:space="preserve">Commonwealth of Australia Constitution Act 1901 is NOT a tool to be wielded for Political Party expediency. It is the Supreme law of the Commonwealth of Australia. The Governor-General and State Governors in conjunction with the High Court at Chapter 3, Judiciary Act No 6 of 1903 </w:t>
      </w:r>
      <w:proofErr w:type="gramStart"/>
      <w:r w:rsidRPr="004663AA">
        <w:rPr>
          <w:color w:val="000000" w:themeColor="text1"/>
          <w:szCs w:val="24"/>
        </w:rPr>
        <w:t>are</w:t>
      </w:r>
      <w:proofErr w:type="gramEnd"/>
      <w:r w:rsidRPr="004663AA">
        <w:rPr>
          <w:color w:val="000000" w:themeColor="text1"/>
          <w:szCs w:val="24"/>
        </w:rPr>
        <w:t xml:space="preserve"> the Constitutional Commonwealth and State Guardians to take care that it is followed, NOT outmanoeuvred by Political Parties. The Federal and State Parliaments are not sovereign bodies; they are legislatures with limited powers, and any law which they attempt to pass in excess of those powers is no law at all, it is simply a nullity, entitled to no obedience.</w:t>
      </w:r>
    </w:p>
    <w:p w:rsidR="00B332C3" w:rsidRDefault="00B332C3" w:rsidP="004663AA">
      <w:pPr>
        <w:rPr>
          <w:color w:val="000000" w:themeColor="text1"/>
          <w:szCs w:val="24"/>
        </w:rPr>
      </w:pPr>
    </w:p>
    <w:p w:rsidR="00B332C3" w:rsidRDefault="00B332C3" w:rsidP="00FA4006">
      <w:pPr>
        <w:jc w:val="center"/>
        <w:rPr>
          <w:b/>
          <w:color w:val="000000" w:themeColor="text1"/>
          <w:sz w:val="36"/>
          <w:szCs w:val="36"/>
          <w:u w:val="single" w:color="FF0000"/>
        </w:rPr>
      </w:pPr>
      <w:r w:rsidRPr="006D138C">
        <w:rPr>
          <w:b/>
          <w:color w:val="000000" w:themeColor="text1"/>
          <w:sz w:val="36"/>
          <w:szCs w:val="36"/>
          <w:u w:val="single" w:color="FF0000"/>
        </w:rPr>
        <w:t>The</w:t>
      </w:r>
      <w:r>
        <w:rPr>
          <w:b/>
          <w:color w:val="000000" w:themeColor="text1"/>
          <w:sz w:val="36"/>
          <w:szCs w:val="36"/>
          <w:u w:val="single" w:color="FF0000"/>
        </w:rPr>
        <w:t xml:space="preserve"> Treasonous</w:t>
      </w:r>
      <w:r w:rsidRPr="006D138C">
        <w:rPr>
          <w:b/>
          <w:color w:val="000000" w:themeColor="text1"/>
          <w:sz w:val="36"/>
          <w:szCs w:val="36"/>
          <w:u w:val="single" w:color="FF0000"/>
        </w:rPr>
        <w:t xml:space="preserve"> Guardians of the Constitutions</w:t>
      </w:r>
      <w:r>
        <w:rPr>
          <w:b/>
          <w:color w:val="000000" w:themeColor="text1"/>
          <w:sz w:val="36"/>
          <w:szCs w:val="36"/>
          <w:u w:val="single" w:color="FF0000"/>
        </w:rPr>
        <w:t xml:space="preserve"> sold their souls and joined the Political Parties sovereign, independent and federal nation</w:t>
      </w:r>
    </w:p>
    <w:p w:rsidR="00B332C3" w:rsidRPr="00B332C3" w:rsidRDefault="00B332C3" w:rsidP="00FA4006">
      <w:pPr>
        <w:jc w:val="center"/>
        <w:rPr>
          <w:b/>
          <w:color w:val="000000" w:themeColor="text1"/>
          <w:sz w:val="44"/>
          <w:szCs w:val="44"/>
          <w:u w:val="single" w:color="FF0000"/>
        </w:rPr>
      </w:pPr>
      <w:r w:rsidRPr="00B332C3">
        <w:rPr>
          <w:b/>
          <w:color w:val="000000" w:themeColor="text1"/>
          <w:sz w:val="44"/>
          <w:szCs w:val="44"/>
          <w:u w:val="single" w:color="FF0000"/>
        </w:rPr>
        <w:t>High Treason</w:t>
      </w:r>
    </w:p>
    <w:sectPr w:rsidR="00B332C3" w:rsidRPr="00B33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17"/>
    <w:rsid w:val="000A6640"/>
    <w:rsid w:val="00207D07"/>
    <w:rsid w:val="00441F15"/>
    <w:rsid w:val="004462E7"/>
    <w:rsid w:val="004663AA"/>
    <w:rsid w:val="00471DA3"/>
    <w:rsid w:val="005A4992"/>
    <w:rsid w:val="005D2A17"/>
    <w:rsid w:val="006D138C"/>
    <w:rsid w:val="00721AA2"/>
    <w:rsid w:val="007D0EBB"/>
    <w:rsid w:val="008B10E1"/>
    <w:rsid w:val="00A40540"/>
    <w:rsid w:val="00B23B53"/>
    <w:rsid w:val="00B332C3"/>
    <w:rsid w:val="00B43C1F"/>
    <w:rsid w:val="00E33BE2"/>
    <w:rsid w:val="00FA4006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B2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1F15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B2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1F15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2021-10-07T23:47:00Z</dcterms:created>
  <dcterms:modified xsi:type="dcterms:W3CDTF">2021-10-12T00:40:00Z</dcterms:modified>
</cp:coreProperties>
</file>